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B" w:rsidRPr="006973DC" w:rsidRDefault="00C00C2B" w:rsidP="004E5FDB">
      <w:pPr>
        <w:spacing w:after="0"/>
        <w:jc w:val="both"/>
      </w:pPr>
    </w:p>
    <w:p w:rsidR="00BC5C27" w:rsidRPr="00A65FB3" w:rsidRDefault="009B39A4" w:rsidP="00BC5C27">
      <w:pPr>
        <w:pStyle w:val="Zhlav"/>
        <w:tabs>
          <w:tab w:val="left" w:pos="10773"/>
        </w:tabs>
        <w:jc w:val="center"/>
        <w:rPr>
          <w:rFonts w:cs="Arial"/>
          <w:b/>
          <w:iCs/>
          <w:caps/>
          <w:sz w:val="24"/>
          <w:szCs w:val="24"/>
        </w:rPr>
      </w:pPr>
      <w:r w:rsidRPr="00A65FB3">
        <w:rPr>
          <w:rFonts w:cs="Arial"/>
          <w:b/>
          <w:iCs/>
          <w:caps/>
          <w:sz w:val="24"/>
          <w:szCs w:val="24"/>
        </w:rPr>
        <w:t xml:space="preserve">Finanční úřad pro </w:t>
      </w:r>
      <w:r w:rsidR="0080724E" w:rsidRPr="00A65FB3">
        <w:rPr>
          <w:rFonts w:cs="Arial"/>
          <w:b/>
          <w:iCs/>
          <w:caps/>
          <w:sz w:val="24"/>
          <w:szCs w:val="24"/>
        </w:rPr>
        <w:t>Pardubický</w:t>
      </w:r>
      <w:r w:rsidRPr="00A65FB3">
        <w:rPr>
          <w:rFonts w:cs="Arial"/>
          <w:b/>
          <w:iCs/>
          <w:caps/>
          <w:sz w:val="24"/>
          <w:szCs w:val="24"/>
        </w:rPr>
        <w:t xml:space="preserve"> kraj</w:t>
      </w:r>
    </w:p>
    <w:p w:rsidR="0080724E" w:rsidRPr="00A65FB3" w:rsidRDefault="0080724E" w:rsidP="0080724E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65FB3">
        <w:rPr>
          <w:rFonts w:ascii="Arial" w:hAnsi="Arial" w:cs="Arial"/>
          <w:iCs/>
        </w:rPr>
        <w:t xml:space="preserve">Boženy Němcové 2625, </w:t>
      </w:r>
      <w:proofErr w:type="gramStart"/>
      <w:r w:rsidRPr="00A65FB3">
        <w:rPr>
          <w:rFonts w:ascii="Arial" w:hAnsi="Arial" w:cs="Arial"/>
          <w:iCs/>
        </w:rPr>
        <w:t>530 02  Pardubice</w:t>
      </w:r>
      <w:proofErr w:type="gramEnd"/>
    </w:p>
    <w:p w:rsidR="00367AA3" w:rsidRPr="00A65FB3" w:rsidRDefault="00367AA3" w:rsidP="00BC5C27">
      <w:pPr>
        <w:jc w:val="center"/>
        <w:outlineLvl w:val="0"/>
        <w:rPr>
          <w:b/>
          <w:sz w:val="32"/>
          <w:szCs w:val="32"/>
        </w:rPr>
      </w:pPr>
    </w:p>
    <w:p w:rsidR="00BC5C27" w:rsidRPr="00A65FB3" w:rsidRDefault="00BC5C27" w:rsidP="00BC5C27">
      <w:pPr>
        <w:jc w:val="center"/>
        <w:outlineLvl w:val="0"/>
        <w:rPr>
          <w:b/>
          <w:sz w:val="32"/>
          <w:szCs w:val="32"/>
        </w:rPr>
      </w:pPr>
      <w:r w:rsidRPr="00A65FB3">
        <w:rPr>
          <w:b/>
          <w:sz w:val="32"/>
          <w:szCs w:val="32"/>
        </w:rPr>
        <w:t>Tisková zpráva</w:t>
      </w:r>
    </w:p>
    <w:p w:rsidR="0066293F" w:rsidRPr="00A65FB3" w:rsidRDefault="00E60C37" w:rsidP="0066293F">
      <w:pPr>
        <w:spacing w:line="240" w:lineRule="exact"/>
        <w:jc w:val="center"/>
        <w:rPr>
          <w:b/>
          <w:sz w:val="30"/>
          <w:szCs w:val="30"/>
          <w:u w:val="single"/>
        </w:rPr>
      </w:pPr>
      <w:r w:rsidRPr="00A65FB3">
        <w:rPr>
          <w:b/>
          <w:sz w:val="30"/>
          <w:szCs w:val="30"/>
          <w:u w:val="single"/>
        </w:rPr>
        <w:t xml:space="preserve">Ukončení provozu pokladen pro výběr hotovostních plateb daní </w:t>
      </w:r>
    </w:p>
    <w:p w:rsidR="00C00C2B" w:rsidRPr="00A65FB3" w:rsidRDefault="00E60C37" w:rsidP="0066293F">
      <w:pPr>
        <w:spacing w:line="240" w:lineRule="exact"/>
        <w:jc w:val="center"/>
        <w:rPr>
          <w:b/>
          <w:sz w:val="30"/>
          <w:szCs w:val="30"/>
          <w:u w:val="single"/>
        </w:rPr>
      </w:pPr>
      <w:r w:rsidRPr="00A65FB3">
        <w:rPr>
          <w:b/>
          <w:sz w:val="30"/>
          <w:szCs w:val="30"/>
          <w:u w:val="single"/>
        </w:rPr>
        <w:t>a poplatků</w:t>
      </w:r>
    </w:p>
    <w:p w:rsidR="00E60C37" w:rsidRPr="00A65FB3" w:rsidRDefault="00E60C37" w:rsidP="00E60C37">
      <w:pPr>
        <w:tabs>
          <w:tab w:val="left" w:pos="4395"/>
        </w:tabs>
        <w:jc w:val="both"/>
        <w:rPr>
          <w:rFonts w:ascii="Arial" w:hAnsi="Arial" w:cs="Arial"/>
          <w:b/>
          <w:bCs/>
          <w:iCs/>
        </w:rPr>
      </w:pPr>
    </w:p>
    <w:p w:rsidR="00E60C37" w:rsidRPr="00A65FB3" w:rsidRDefault="00E64D21" w:rsidP="00E60C37">
      <w:pPr>
        <w:tabs>
          <w:tab w:val="left" w:pos="4395"/>
        </w:tabs>
        <w:jc w:val="both"/>
        <w:rPr>
          <w:rFonts w:ascii="Arial" w:hAnsi="Arial" w:cs="Arial"/>
          <w:b/>
          <w:bCs/>
          <w:iCs/>
        </w:rPr>
      </w:pPr>
      <w:r w:rsidRPr="00A65FB3">
        <w:rPr>
          <w:rFonts w:ascii="Arial" w:hAnsi="Arial" w:cs="Arial"/>
          <w:b/>
          <w:bCs/>
          <w:iCs/>
        </w:rPr>
        <w:t>Jedním z kroků</w:t>
      </w:r>
      <w:r w:rsidR="00E60C37" w:rsidRPr="00A65FB3">
        <w:rPr>
          <w:rFonts w:ascii="Arial" w:hAnsi="Arial" w:cs="Arial"/>
          <w:b/>
          <w:bCs/>
          <w:iCs/>
        </w:rPr>
        <w:t xml:space="preserve"> k optimalizaci fungování Finanční správy je ukončení provozu pokladen pro výběr hotovostních plateb daní a poplatků na </w:t>
      </w:r>
      <w:hyperlink r:id="rId8" w:history="1">
        <w:r w:rsidR="00E60C37" w:rsidRPr="00A65FB3">
          <w:rPr>
            <w:rStyle w:val="Hypertextovodkaz"/>
            <w:rFonts w:ascii="Arial" w:hAnsi="Arial" w:cs="Arial"/>
            <w:b/>
            <w:bCs/>
            <w:iCs/>
          </w:rPr>
          <w:t>103 „neokresních“ územních pracovištích finančních úřadů</w:t>
        </w:r>
      </w:hyperlink>
      <w:r w:rsidR="00E60C37" w:rsidRPr="00A65FB3">
        <w:rPr>
          <w:rFonts w:ascii="Arial" w:hAnsi="Arial" w:cs="Arial"/>
          <w:b/>
          <w:bCs/>
          <w:iCs/>
        </w:rPr>
        <w:t xml:space="preserve">, a to již od 1. září 2015. Důvodem je zejména skutečnost, že náklady na jednu transakci na pokladně územního pracoviště finančního úřadu představují částku ve výši 42,50 korun, přičemž například </w:t>
      </w:r>
      <w:r w:rsidR="00B44692" w:rsidRPr="00A65FB3">
        <w:rPr>
          <w:rFonts w:ascii="Arial" w:hAnsi="Arial" w:cs="Arial"/>
          <w:b/>
          <w:bCs/>
          <w:iCs/>
        </w:rPr>
        <w:t>Č</w:t>
      </w:r>
      <w:r w:rsidR="00E60C37" w:rsidRPr="00A65FB3">
        <w:rPr>
          <w:rFonts w:ascii="Arial" w:hAnsi="Arial" w:cs="Arial"/>
          <w:b/>
          <w:bCs/>
          <w:iCs/>
        </w:rPr>
        <w:t xml:space="preserve">eská pošta </w:t>
      </w:r>
      <w:proofErr w:type="spellStart"/>
      <w:proofErr w:type="gramStart"/>
      <w:r w:rsidR="00E60C37" w:rsidRPr="00A65FB3">
        <w:rPr>
          <w:rFonts w:ascii="Arial" w:hAnsi="Arial" w:cs="Arial"/>
          <w:b/>
          <w:bCs/>
          <w:iCs/>
        </w:rPr>
        <w:t>s.p</w:t>
      </w:r>
      <w:proofErr w:type="spellEnd"/>
      <w:r w:rsidR="00E60C37" w:rsidRPr="00A65FB3">
        <w:rPr>
          <w:rFonts w:ascii="Arial" w:hAnsi="Arial" w:cs="Arial"/>
          <w:b/>
          <w:bCs/>
          <w:iCs/>
        </w:rPr>
        <w:t>.</w:t>
      </w:r>
      <w:proofErr w:type="gramEnd"/>
      <w:r w:rsidR="00E60C37" w:rsidRPr="00A65FB3">
        <w:rPr>
          <w:rFonts w:ascii="Arial" w:hAnsi="Arial" w:cs="Arial"/>
          <w:b/>
          <w:bCs/>
          <w:iCs/>
        </w:rPr>
        <w:t xml:space="preserve"> nabízí obdobnou službu v komerčním režimu za 29 korun. Navíc v případě zachování pokladen by musela Finanční správa investovat značné prostředky do bezpečnosti pokladen, což by s ohledem na tento záměr nebylo hospodárné.</w:t>
      </w:r>
    </w:p>
    <w:p w:rsidR="00E60C37" w:rsidRPr="00A65FB3" w:rsidRDefault="00E60C37" w:rsidP="00E60C37">
      <w:pPr>
        <w:tabs>
          <w:tab w:val="left" w:pos="4395"/>
        </w:tabs>
        <w:jc w:val="both"/>
        <w:rPr>
          <w:rFonts w:ascii="Arial" w:hAnsi="Arial" w:cs="Arial"/>
          <w:b/>
          <w:bCs/>
          <w:iCs/>
        </w:rPr>
      </w:pPr>
      <w:r w:rsidRPr="00A65FB3">
        <w:rPr>
          <w:rFonts w:ascii="Arial" w:hAnsi="Arial" w:cs="Arial"/>
          <w:b/>
          <w:bCs/>
          <w:iCs/>
        </w:rPr>
        <w:t xml:space="preserve">V </w:t>
      </w:r>
      <w:r w:rsidR="00A65FB3" w:rsidRPr="00A65FB3">
        <w:rPr>
          <w:rFonts w:ascii="Arial" w:hAnsi="Arial" w:cs="Arial"/>
          <w:b/>
          <w:bCs/>
          <w:iCs/>
        </w:rPr>
        <w:t>Pardubickém</w:t>
      </w:r>
      <w:r w:rsidRPr="00A65FB3">
        <w:rPr>
          <w:rFonts w:ascii="Arial" w:hAnsi="Arial" w:cs="Arial"/>
          <w:b/>
          <w:bCs/>
          <w:iCs/>
        </w:rPr>
        <w:t xml:space="preserve"> kraji bude k 1. 9. 2015 ukončen provoz pokladen na níže uvedených územních pracovištích:</w:t>
      </w: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</w:tblGrid>
      <w:tr w:rsidR="00A65FB3" w:rsidRPr="00765237" w:rsidTr="0077324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A65FB3" w:rsidRPr="00765237" w:rsidRDefault="00A65FB3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ÚzP v </w:t>
            </w:r>
            <w:r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Hlinsku</w:t>
            </w:r>
          </w:p>
        </w:tc>
      </w:tr>
      <w:tr w:rsidR="00E60C37" w:rsidRPr="00765237" w:rsidTr="00E60C37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60C37" w:rsidRPr="00765237" w:rsidRDefault="00E60C37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ÚzP v </w:t>
            </w:r>
            <w:r w:rsidR="00A65FB3"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Holicích</w:t>
            </w:r>
          </w:p>
        </w:tc>
      </w:tr>
      <w:tr w:rsidR="00E60C37" w:rsidRPr="00765237" w:rsidTr="00E60C37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60C37" w:rsidRPr="00765237" w:rsidRDefault="00E60C37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ÚzP v</w:t>
            </w:r>
            <w:r w:rsidR="00A65FB3"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Litomyšli</w:t>
            </w:r>
          </w:p>
        </w:tc>
      </w:tr>
      <w:tr w:rsidR="00E60C37" w:rsidRPr="00765237" w:rsidTr="00E60C37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60C37" w:rsidRPr="00765237" w:rsidRDefault="00E60C37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ÚzP v </w:t>
            </w:r>
            <w:r w:rsidR="00A65FB3"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Moravské Třebové</w:t>
            </w:r>
            <w:r w:rsidR="00A65FB3"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</w:p>
        </w:tc>
      </w:tr>
      <w:tr w:rsidR="00E60C37" w:rsidRPr="00765237" w:rsidTr="00E60C37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60C37" w:rsidRPr="00765237" w:rsidRDefault="00E60C37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ÚzP v </w:t>
            </w:r>
            <w:r w:rsidR="00A65FB3"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Přelouči</w:t>
            </w:r>
          </w:p>
        </w:tc>
        <w:bookmarkStart w:id="0" w:name="_GoBack"/>
        <w:bookmarkEnd w:id="0"/>
      </w:tr>
      <w:tr w:rsidR="00E60C37" w:rsidRPr="00765237" w:rsidTr="00E60C37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60C37" w:rsidRPr="00765237" w:rsidRDefault="00E60C37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ÚzP v</w:t>
            </w:r>
            <w:r w:rsidR="00A65FB3" w:rsidRPr="0076523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e Vysokém Mýtě</w:t>
            </w:r>
          </w:p>
        </w:tc>
      </w:tr>
    </w:tbl>
    <w:p w:rsidR="00E60C37" w:rsidRPr="00A65FB3" w:rsidRDefault="00E60C37" w:rsidP="00E60C37">
      <w:pPr>
        <w:tabs>
          <w:tab w:val="left" w:pos="4395"/>
        </w:tabs>
        <w:jc w:val="both"/>
        <w:rPr>
          <w:rFonts w:ascii="Arial" w:hAnsi="Arial" w:cs="Arial"/>
          <w:b/>
          <w:bCs/>
          <w:iCs/>
        </w:rPr>
      </w:pPr>
    </w:p>
    <w:p w:rsidR="00E60C37" w:rsidRPr="00A65FB3" w:rsidRDefault="00E60C37" w:rsidP="00E60C37">
      <w:pPr>
        <w:tabs>
          <w:tab w:val="left" w:pos="4395"/>
        </w:tabs>
        <w:jc w:val="both"/>
        <w:rPr>
          <w:rFonts w:ascii="Arial" w:hAnsi="Arial" w:cs="Arial"/>
          <w:b/>
          <w:bCs/>
          <w:iCs/>
        </w:rPr>
      </w:pPr>
      <w:r w:rsidRPr="00A65FB3">
        <w:rPr>
          <w:rFonts w:ascii="Arial" w:hAnsi="Arial" w:cs="Arial"/>
          <w:b/>
          <w:bCs/>
          <w:iCs/>
        </w:rPr>
        <w:t>Možnost zaplatit platbu daní a poplatků v hotovosti zůstává nadále zachována prostřednictvím pokladen na těchto územních pracovištích:</w:t>
      </w: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</w:tblGrid>
      <w:tr w:rsidR="00A8363D" w:rsidRPr="00A65FB3" w:rsidTr="00E86203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A8363D" w:rsidRPr="00A65FB3" w:rsidRDefault="00A8363D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ÚzP v</w:t>
            </w:r>
            <w:r w:rsidR="00A65FB3"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Pardubicích</w:t>
            </w:r>
          </w:p>
        </w:tc>
      </w:tr>
      <w:tr w:rsidR="00A8363D" w:rsidRPr="00A65FB3" w:rsidTr="00E86203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A8363D" w:rsidRPr="00A65FB3" w:rsidRDefault="00A8363D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ÚzP v</w:t>
            </w:r>
            <w:r w:rsidR="00A65FB3"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Chrudimi</w:t>
            </w:r>
          </w:p>
        </w:tc>
      </w:tr>
      <w:tr w:rsidR="00A8363D" w:rsidRPr="00A65FB3" w:rsidTr="00E86203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A8363D" w:rsidRPr="00A65FB3" w:rsidRDefault="00A8363D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ÚzP v</w:t>
            </w:r>
            <w:r w:rsidR="00A65FB3"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e</w:t>
            </w:r>
            <w:r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</w:t>
            </w:r>
            <w:r w:rsidR="00A65FB3"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Svitavách</w:t>
            </w:r>
          </w:p>
        </w:tc>
      </w:tr>
      <w:tr w:rsidR="00A8363D" w:rsidRPr="00A65FB3" w:rsidTr="00E86203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A8363D" w:rsidRPr="00A65FB3" w:rsidRDefault="00A8363D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ÚzP v </w:t>
            </w:r>
            <w:r w:rsidR="00A65FB3"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Ústí nad Orlicí</w:t>
            </w:r>
          </w:p>
        </w:tc>
      </w:tr>
      <w:tr w:rsidR="00A8363D" w:rsidRPr="00A65FB3" w:rsidTr="00E86203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A8363D" w:rsidRPr="00A65FB3" w:rsidRDefault="00A8363D" w:rsidP="00A65F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ÚzP v </w:t>
            </w:r>
            <w:r w:rsidR="00A65FB3" w:rsidRPr="00A65FB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Žamberku</w:t>
            </w:r>
          </w:p>
        </w:tc>
      </w:tr>
    </w:tbl>
    <w:p w:rsidR="00A8363D" w:rsidRPr="00A65FB3" w:rsidRDefault="00A8363D" w:rsidP="00E60C37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</w:p>
    <w:p w:rsidR="00F13DE4" w:rsidRPr="00A65FB3" w:rsidRDefault="00F13DE4" w:rsidP="00E60C37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</w:p>
    <w:p w:rsidR="00F13DE4" w:rsidRPr="00A65FB3" w:rsidRDefault="00F13DE4" w:rsidP="00E60C37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</w:p>
    <w:p w:rsidR="00A27B85" w:rsidRPr="00A65FB3" w:rsidRDefault="00A27B85" w:rsidP="00E60C37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</w:p>
    <w:p w:rsidR="00036223" w:rsidRPr="00A65FB3" w:rsidRDefault="00036223" w:rsidP="00E60C37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</w:p>
    <w:p w:rsidR="00A65FB3" w:rsidRDefault="00A65FB3" w:rsidP="00036223">
      <w:pPr>
        <w:jc w:val="both"/>
        <w:rPr>
          <w:rFonts w:ascii="Arial" w:hAnsi="Arial" w:cs="Arial"/>
          <w:b/>
        </w:rPr>
      </w:pPr>
    </w:p>
    <w:p w:rsidR="00036223" w:rsidRPr="00A65FB3" w:rsidRDefault="00036223" w:rsidP="00036223">
      <w:pPr>
        <w:jc w:val="both"/>
        <w:rPr>
          <w:rFonts w:ascii="Arial" w:hAnsi="Arial" w:cs="Arial"/>
        </w:rPr>
      </w:pPr>
      <w:r w:rsidRPr="00A65FB3">
        <w:rPr>
          <w:rFonts w:ascii="Arial" w:hAnsi="Arial" w:cs="Arial"/>
          <w:b/>
        </w:rPr>
        <w:t>Stále trvá možnost daňovou povinnost uhradit bezhotovostním převodem z účtu, případně prostřednictvím poštovní poukázky typu „A“. Tyto jsou k dispozici na všech územních pracovištích.</w:t>
      </w:r>
    </w:p>
    <w:p w:rsidR="00E60C37" w:rsidRPr="00A65FB3" w:rsidRDefault="00E60C37" w:rsidP="00E60C37">
      <w:pPr>
        <w:tabs>
          <w:tab w:val="left" w:pos="4395"/>
        </w:tabs>
        <w:jc w:val="both"/>
        <w:rPr>
          <w:rFonts w:ascii="Arial" w:hAnsi="Arial" w:cs="Arial"/>
          <w:bCs/>
          <w:iCs/>
          <w:u w:val="single"/>
        </w:rPr>
      </w:pPr>
      <w:r w:rsidRPr="00A65FB3">
        <w:rPr>
          <w:rFonts w:ascii="Arial" w:hAnsi="Arial" w:cs="Arial"/>
          <w:bCs/>
          <w:iCs/>
        </w:rPr>
        <w:t xml:space="preserve">Jako alternativu nejčastějšího hotovostního placení – úhrady daně z nemovitých věcí - nabízí Finanční správa od ledna příštího roku možnost placení této daně prostřednictvím </w:t>
      </w:r>
      <w:hyperlink r:id="rId9" w:history="1">
        <w:r w:rsidRPr="00A65FB3">
          <w:rPr>
            <w:rStyle w:val="Hypertextovodkaz"/>
            <w:rFonts w:ascii="Arial" w:hAnsi="Arial" w:cs="Arial"/>
            <w:bCs/>
            <w:iCs/>
          </w:rPr>
          <w:t>Soustředěné inkasní platby obyvatelstva (SIPO).</w:t>
        </w:r>
      </w:hyperlink>
    </w:p>
    <w:p w:rsidR="00E60C37" w:rsidRPr="00A65FB3" w:rsidRDefault="00E60C37" w:rsidP="00E60C37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  <w:r w:rsidRPr="00A65FB3">
        <w:rPr>
          <w:rFonts w:ascii="Arial" w:hAnsi="Arial" w:cs="Arial"/>
          <w:bCs/>
          <w:iCs/>
        </w:rPr>
        <w:t xml:space="preserve">Pro nejbližší období placení daně z příjmů a daně z nemovitých věcí připravuje Finanční správa i další alternativu pro platby v hotovosti, jakou byla v minulosti například tzv. „daňová složenka“, kterou bylo možné platit daně bezplatně na přepážkách České pošty </w:t>
      </w:r>
      <w:proofErr w:type="spellStart"/>
      <w:proofErr w:type="gramStart"/>
      <w:r w:rsidRPr="00A65FB3">
        <w:rPr>
          <w:rFonts w:ascii="Arial" w:hAnsi="Arial" w:cs="Arial"/>
          <w:bCs/>
          <w:iCs/>
        </w:rPr>
        <w:t>s.p</w:t>
      </w:r>
      <w:proofErr w:type="spellEnd"/>
      <w:r w:rsidRPr="00A65FB3">
        <w:rPr>
          <w:rFonts w:ascii="Arial" w:hAnsi="Arial" w:cs="Arial"/>
          <w:bCs/>
          <w:iCs/>
        </w:rPr>
        <w:t>.</w:t>
      </w:r>
      <w:proofErr w:type="gramEnd"/>
      <w:r w:rsidRPr="00A65FB3">
        <w:rPr>
          <w:rFonts w:ascii="Arial" w:hAnsi="Arial" w:cs="Arial"/>
          <w:bCs/>
          <w:iCs/>
        </w:rPr>
        <w:t xml:space="preserve"> Tato služba byla velmi oblíbená zejména proto, že pokladen územních pracovišť finančních úřadů je 201 a mají oproti více než 3000 provozovnám České pošty nesrovnatelně menší kapacitu. Snahou Finanční správy je, aby </w:t>
      </w:r>
      <w:r w:rsidR="00B44692" w:rsidRPr="00A65FB3">
        <w:rPr>
          <w:rFonts w:ascii="Arial" w:hAnsi="Arial" w:cs="Arial"/>
          <w:bCs/>
          <w:iCs/>
        </w:rPr>
        <w:t xml:space="preserve">podnikatelské subjekty platily daně primárně </w:t>
      </w:r>
      <w:proofErr w:type="gramStart"/>
      <w:r w:rsidR="00B44692" w:rsidRPr="00A65FB3">
        <w:rPr>
          <w:rFonts w:ascii="Arial" w:hAnsi="Arial" w:cs="Arial"/>
          <w:bCs/>
          <w:iCs/>
        </w:rPr>
        <w:t>bezhotovostně  a pro</w:t>
      </w:r>
      <w:proofErr w:type="gramEnd"/>
      <w:r w:rsidR="00B44692" w:rsidRPr="00A65FB3">
        <w:rPr>
          <w:rFonts w:ascii="Arial" w:hAnsi="Arial" w:cs="Arial"/>
          <w:bCs/>
          <w:iCs/>
        </w:rPr>
        <w:t xml:space="preserve"> občany platící daně ze svého majetku nebo nakládáním s ním, aby se zvýšil komfort hotovostního placení.</w:t>
      </w:r>
    </w:p>
    <w:p w:rsidR="00E60C37" w:rsidRPr="00A65FB3" w:rsidRDefault="00E60C37" w:rsidP="007F0135">
      <w:pPr>
        <w:jc w:val="center"/>
        <w:rPr>
          <w:b/>
          <w:sz w:val="20"/>
          <w:szCs w:val="20"/>
        </w:rPr>
      </w:pPr>
    </w:p>
    <w:p w:rsidR="00C00C2B" w:rsidRPr="00A65FB3" w:rsidRDefault="00C00C2B" w:rsidP="00927E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5FB3">
        <w:rPr>
          <w:rFonts w:ascii="Arial" w:hAnsi="Arial" w:cs="Arial"/>
        </w:rPr>
        <w:t>V</w:t>
      </w:r>
      <w:r w:rsidR="00A8363D" w:rsidRPr="00A65FB3">
        <w:rPr>
          <w:rFonts w:ascii="Arial" w:hAnsi="Arial" w:cs="Arial"/>
        </w:rPr>
        <w:t xml:space="preserve"> </w:t>
      </w:r>
      <w:r w:rsidR="00A65FB3" w:rsidRPr="00A65FB3">
        <w:rPr>
          <w:rFonts w:ascii="Arial" w:hAnsi="Arial" w:cs="Arial"/>
        </w:rPr>
        <w:t>Pardubicích</w:t>
      </w:r>
      <w:r w:rsidR="00A8363D" w:rsidRPr="00A65FB3">
        <w:rPr>
          <w:rFonts w:ascii="Arial" w:hAnsi="Arial" w:cs="Arial"/>
        </w:rPr>
        <w:t xml:space="preserve"> dne </w:t>
      </w:r>
      <w:r w:rsidR="00A65FB3" w:rsidRPr="00A65FB3">
        <w:rPr>
          <w:rFonts w:ascii="Arial" w:hAnsi="Arial" w:cs="Arial"/>
        </w:rPr>
        <w:t>7</w:t>
      </w:r>
      <w:r w:rsidR="00A8363D" w:rsidRPr="00A65FB3">
        <w:rPr>
          <w:rFonts w:ascii="Arial" w:hAnsi="Arial" w:cs="Arial"/>
        </w:rPr>
        <w:t>. srpna 2015</w:t>
      </w:r>
    </w:p>
    <w:p w:rsidR="00927E00" w:rsidRPr="00A65FB3" w:rsidRDefault="00927E00" w:rsidP="00927E00">
      <w:pPr>
        <w:spacing w:after="0"/>
        <w:rPr>
          <w:rFonts w:ascii="Arial" w:hAnsi="Arial" w:cs="Arial"/>
          <w:szCs w:val="24"/>
        </w:rPr>
      </w:pPr>
    </w:p>
    <w:p w:rsidR="00A8363D" w:rsidRPr="00A65FB3" w:rsidRDefault="00A8363D" w:rsidP="00927E00">
      <w:pPr>
        <w:spacing w:after="0"/>
        <w:rPr>
          <w:rFonts w:ascii="Arial" w:hAnsi="Arial" w:cs="Arial"/>
          <w:szCs w:val="24"/>
        </w:rPr>
      </w:pPr>
    </w:p>
    <w:p w:rsidR="00A42D28" w:rsidRPr="00A65FB3" w:rsidRDefault="00927E00" w:rsidP="00927E00">
      <w:pPr>
        <w:spacing w:after="0"/>
        <w:rPr>
          <w:rFonts w:ascii="Arial" w:hAnsi="Arial" w:cs="Arial"/>
          <w:szCs w:val="24"/>
        </w:rPr>
      </w:pPr>
      <w:r w:rsidRPr="00A65FB3">
        <w:rPr>
          <w:rFonts w:ascii="Arial" w:hAnsi="Arial" w:cs="Arial"/>
          <w:szCs w:val="24"/>
        </w:rPr>
        <w:t xml:space="preserve">Ing. </w:t>
      </w:r>
      <w:r w:rsidR="00A65FB3" w:rsidRPr="00A65FB3">
        <w:rPr>
          <w:rFonts w:ascii="Arial" w:hAnsi="Arial" w:cs="Arial"/>
          <w:szCs w:val="24"/>
        </w:rPr>
        <w:t>Hana Patočková</w:t>
      </w:r>
    </w:p>
    <w:p w:rsidR="00A42D28" w:rsidRPr="00A65FB3" w:rsidRDefault="00A65FB3" w:rsidP="00927E00">
      <w:pPr>
        <w:spacing w:after="0"/>
        <w:rPr>
          <w:rFonts w:ascii="Arial" w:hAnsi="Arial" w:cs="Arial"/>
          <w:szCs w:val="24"/>
        </w:rPr>
      </w:pPr>
      <w:r w:rsidRPr="00A65FB3">
        <w:rPr>
          <w:rFonts w:ascii="Arial" w:hAnsi="Arial" w:cs="Arial"/>
          <w:szCs w:val="24"/>
        </w:rPr>
        <w:t>T</w:t>
      </w:r>
      <w:r w:rsidR="00A8363D" w:rsidRPr="00A65FB3">
        <w:rPr>
          <w:rFonts w:ascii="Arial" w:hAnsi="Arial" w:cs="Arial"/>
          <w:szCs w:val="24"/>
        </w:rPr>
        <w:t>iskov</w:t>
      </w:r>
      <w:r w:rsidRPr="00A65FB3">
        <w:rPr>
          <w:rFonts w:ascii="Arial" w:hAnsi="Arial" w:cs="Arial"/>
          <w:szCs w:val="24"/>
        </w:rPr>
        <w:t>á</w:t>
      </w:r>
      <w:r w:rsidR="00A8363D" w:rsidRPr="00A65FB3">
        <w:rPr>
          <w:rFonts w:ascii="Arial" w:hAnsi="Arial" w:cs="Arial"/>
          <w:szCs w:val="24"/>
        </w:rPr>
        <w:t xml:space="preserve"> mluvčí</w:t>
      </w:r>
      <w:r w:rsidR="00927E00" w:rsidRPr="00A65FB3">
        <w:rPr>
          <w:rFonts w:ascii="Arial" w:hAnsi="Arial" w:cs="Arial"/>
          <w:szCs w:val="24"/>
        </w:rPr>
        <w:tab/>
      </w:r>
      <w:r w:rsidR="00927E00" w:rsidRPr="00A65FB3">
        <w:rPr>
          <w:rFonts w:ascii="Arial" w:hAnsi="Arial" w:cs="Arial"/>
          <w:szCs w:val="24"/>
        </w:rPr>
        <w:tab/>
        <w:t xml:space="preserve">              </w:t>
      </w:r>
    </w:p>
    <w:p w:rsidR="00A42D28" w:rsidRPr="00A65FB3" w:rsidRDefault="00A8363D" w:rsidP="00927E00">
      <w:pPr>
        <w:spacing w:after="0"/>
        <w:rPr>
          <w:rFonts w:ascii="Arial" w:hAnsi="Arial" w:cs="Arial"/>
          <w:szCs w:val="24"/>
        </w:rPr>
      </w:pPr>
      <w:r w:rsidRPr="00A65FB3">
        <w:rPr>
          <w:rFonts w:ascii="Arial" w:hAnsi="Arial" w:cs="Arial"/>
          <w:szCs w:val="24"/>
        </w:rPr>
        <w:t xml:space="preserve">Finanční úřad pro </w:t>
      </w:r>
      <w:r w:rsidR="00A65FB3" w:rsidRPr="00A65FB3">
        <w:rPr>
          <w:rFonts w:ascii="Arial" w:hAnsi="Arial" w:cs="Arial"/>
          <w:szCs w:val="24"/>
        </w:rPr>
        <w:t>Pardubický</w:t>
      </w:r>
      <w:r w:rsidRPr="00A65FB3">
        <w:rPr>
          <w:rFonts w:ascii="Arial" w:hAnsi="Arial" w:cs="Arial"/>
          <w:szCs w:val="24"/>
        </w:rPr>
        <w:t xml:space="preserve"> kraj</w:t>
      </w:r>
    </w:p>
    <w:sectPr w:rsidR="00A42D28" w:rsidRPr="00A65FB3" w:rsidSect="001A79CB">
      <w:headerReference w:type="default" r:id="rId10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B6" w:rsidRDefault="00C40DB6" w:rsidP="00A44ED9">
      <w:pPr>
        <w:spacing w:after="0" w:line="240" w:lineRule="auto"/>
      </w:pPr>
      <w:r>
        <w:separator/>
      </w:r>
    </w:p>
  </w:endnote>
  <w:endnote w:type="continuationSeparator" w:id="0">
    <w:p w:rsidR="00C40DB6" w:rsidRDefault="00C40DB6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B6" w:rsidRDefault="00C40DB6" w:rsidP="00A44ED9">
      <w:pPr>
        <w:spacing w:after="0" w:line="240" w:lineRule="auto"/>
      </w:pPr>
      <w:r>
        <w:separator/>
      </w:r>
    </w:p>
  </w:footnote>
  <w:footnote w:type="continuationSeparator" w:id="0">
    <w:p w:rsidR="00C40DB6" w:rsidRDefault="00C40DB6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00" w:rsidRPr="00BC5C27" w:rsidRDefault="00BC5C27" w:rsidP="00BC5C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324FDA" wp14:editId="312E56C2">
          <wp:simplePos x="0" y="0"/>
          <wp:positionH relativeFrom="column">
            <wp:posOffset>-823595</wp:posOffset>
          </wp:positionH>
          <wp:positionV relativeFrom="paragraph">
            <wp:posOffset>-1905</wp:posOffset>
          </wp:positionV>
          <wp:extent cx="7836649" cy="12954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649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14F37"/>
    <w:rsid w:val="00036223"/>
    <w:rsid w:val="00036556"/>
    <w:rsid w:val="00095605"/>
    <w:rsid w:val="000A3A20"/>
    <w:rsid w:val="000C2E57"/>
    <w:rsid w:val="000C5A2B"/>
    <w:rsid w:val="000C6921"/>
    <w:rsid w:val="00124940"/>
    <w:rsid w:val="00127ADC"/>
    <w:rsid w:val="00137D37"/>
    <w:rsid w:val="00167CB6"/>
    <w:rsid w:val="00173981"/>
    <w:rsid w:val="00177455"/>
    <w:rsid w:val="00197FA0"/>
    <w:rsid w:val="001A79CB"/>
    <w:rsid w:val="001C3C8C"/>
    <w:rsid w:val="002015D2"/>
    <w:rsid w:val="00221773"/>
    <w:rsid w:val="00234775"/>
    <w:rsid w:val="0023481C"/>
    <w:rsid w:val="00236496"/>
    <w:rsid w:val="00250CE7"/>
    <w:rsid w:val="00283086"/>
    <w:rsid w:val="00284A87"/>
    <w:rsid w:val="00295063"/>
    <w:rsid w:val="00297E72"/>
    <w:rsid w:val="002B643F"/>
    <w:rsid w:val="002E3898"/>
    <w:rsid w:val="002E6C2B"/>
    <w:rsid w:val="002F15A0"/>
    <w:rsid w:val="0030764D"/>
    <w:rsid w:val="00316B2E"/>
    <w:rsid w:val="00317706"/>
    <w:rsid w:val="00354C2E"/>
    <w:rsid w:val="00367AA3"/>
    <w:rsid w:val="00371F14"/>
    <w:rsid w:val="003738E2"/>
    <w:rsid w:val="00375E41"/>
    <w:rsid w:val="003870AE"/>
    <w:rsid w:val="003964F7"/>
    <w:rsid w:val="003A1DAA"/>
    <w:rsid w:val="003C1ED9"/>
    <w:rsid w:val="003C3CD9"/>
    <w:rsid w:val="003F5555"/>
    <w:rsid w:val="00401E27"/>
    <w:rsid w:val="00414D97"/>
    <w:rsid w:val="00420A57"/>
    <w:rsid w:val="004324F8"/>
    <w:rsid w:val="00471682"/>
    <w:rsid w:val="004731AF"/>
    <w:rsid w:val="0047347D"/>
    <w:rsid w:val="00477A5E"/>
    <w:rsid w:val="00496558"/>
    <w:rsid w:val="004A3974"/>
    <w:rsid w:val="004B24D2"/>
    <w:rsid w:val="004B6BA4"/>
    <w:rsid w:val="004D3786"/>
    <w:rsid w:val="004E5FDB"/>
    <w:rsid w:val="00502F37"/>
    <w:rsid w:val="005117FD"/>
    <w:rsid w:val="005264BC"/>
    <w:rsid w:val="0054766B"/>
    <w:rsid w:val="00591181"/>
    <w:rsid w:val="00596A78"/>
    <w:rsid w:val="005B6263"/>
    <w:rsid w:val="005C3F73"/>
    <w:rsid w:val="005E780A"/>
    <w:rsid w:val="005F1F28"/>
    <w:rsid w:val="00604C08"/>
    <w:rsid w:val="006108D5"/>
    <w:rsid w:val="00660596"/>
    <w:rsid w:val="00661F87"/>
    <w:rsid w:val="0066293F"/>
    <w:rsid w:val="006665B6"/>
    <w:rsid w:val="006871A7"/>
    <w:rsid w:val="006949D4"/>
    <w:rsid w:val="006973DC"/>
    <w:rsid w:val="006A4D57"/>
    <w:rsid w:val="006B5C67"/>
    <w:rsid w:val="006B748A"/>
    <w:rsid w:val="006E5CDC"/>
    <w:rsid w:val="006E6330"/>
    <w:rsid w:val="006F798C"/>
    <w:rsid w:val="007164BC"/>
    <w:rsid w:val="00731978"/>
    <w:rsid w:val="00743D76"/>
    <w:rsid w:val="007519F1"/>
    <w:rsid w:val="007570C8"/>
    <w:rsid w:val="00764B7F"/>
    <w:rsid w:val="00765237"/>
    <w:rsid w:val="00773ECF"/>
    <w:rsid w:val="007831DC"/>
    <w:rsid w:val="007A73F1"/>
    <w:rsid w:val="007B4B64"/>
    <w:rsid w:val="007D36D2"/>
    <w:rsid w:val="007E004A"/>
    <w:rsid w:val="007F0135"/>
    <w:rsid w:val="0080724E"/>
    <w:rsid w:val="00827A76"/>
    <w:rsid w:val="00850F63"/>
    <w:rsid w:val="00857471"/>
    <w:rsid w:val="00871F66"/>
    <w:rsid w:val="008B5078"/>
    <w:rsid w:val="00922C3F"/>
    <w:rsid w:val="00923D62"/>
    <w:rsid w:val="00927E00"/>
    <w:rsid w:val="009538B0"/>
    <w:rsid w:val="009555E6"/>
    <w:rsid w:val="00981066"/>
    <w:rsid w:val="00984027"/>
    <w:rsid w:val="00992998"/>
    <w:rsid w:val="00993A21"/>
    <w:rsid w:val="009A2345"/>
    <w:rsid w:val="009B39A4"/>
    <w:rsid w:val="009D7BBF"/>
    <w:rsid w:val="009F65E9"/>
    <w:rsid w:val="00A06673"/>
    <w:rsid w:val="00A27B85"/>
    <w:rsid w:val="00A42D28"/>
    <w:rsid w:val="00A44998"/>
    <w:rsid w:val="00A44ED9"/>
    <w:rsid w:val="00A45E13"/>
    <w:rsid w:val="00A50C45"/>
    <w:rsid w:val="00A61E5F"/>
    <w:rsid w:val="00A65FB3"/>
    <w:rsid w:val="00A72707"/>
    <w:rsid w:val="00A73858"/>
    <w:rsid w:val="00A75DA9"/>
    <w:rsid w:val="00A81FD5"/>
    <w:rsid w:val="00A8363D"/>
    <w:rsid w:val="00A867E7"/>
    <w:rsid w:val="00A96CFE"/>
    <w:rsid w:val="00AA4F6A"/>
    <w:rsid w:val="00AA6B5E"/>
    <w:rsid w:val="00AB6599"/>
    <w:rsid w:val="00AC5CD7"/>
    <w:rsid w:val="00B127BF"/>
    <w:rsid w:val="00B37DFC"/>
    <w:rsid w:val="00B44692"/>
    <w:rsid w:val="00B51844"/>
    <w:rsid w:val="00B565D1"/>
    <w:rsid w:val="00B70224"/>
    <w:rsid w:val="00B8406A"/>
    <w:rsid w:val="00BA3030"/>
    <w:rsid w:val="00BB3E46"/>
    <w:rsid w:val="00BC2F1A"/>
    <w:rsid w:val="00BC5C27"/>
    <w:rsid w:val="00BD20B4"/>
    <w:rsid w:val="00C00C2B"/>
    <w:rsid w:val="00C40DB6"/>
    <w:rsid w:val="00C674C5"/>
    <w:rsid w:val="00CD1AC2"/>
    <w:rsid w:val="00CD5A24"/>
    <w:rsid w:val="00CE2E85"/>
    <w:rsid w:val="00CE5CEB"/>
    <w:rsid w:val="00D00D77"/>
    <w:rsid w:val="00D140CA"/>
    <w:rsid w:val="00D37861"/>
    <w:rsid w:val="00D540FC"/>
    <w:rsid w:val="00D61506"/>
    <w:rsid w:val="00D949D9"/>
    <w:rsid w:val="00DA1B1D"/>
    <w:rsid w:val="00DA2F4F"/>
    <w:rsid w:val="00DB5C12"/>
    <w:rsid w:val="00DB6709"/>
    <w:rsid w:val="00DB6E06"/>
    <w:rsid w:val="00DE098D"/>
    <w:rsid w:val="00DE375F"/>
    <w:rsid w:val="00DE5408"/>
    <w:rsid w:val="00E22ECD"/>
    <w:rsid w:val="00E3143D"/>
    <w:rsid w:val="00E453E6"/>
    <w:rsid w:val="00E60C37"/>
    <w:rsid w:val="00E64169"/>
    <w:rsid w:val="00E64D21"/>
    <w:rsid w:val="00E67E40"/>
    <w:rsid w:val="00EA16F0"/>
    <w:rsid w:val="00EB3F87"/>
    <w:rsid w:val="00EC166E"/>
    <w:rsid w:val="00EE378F"/>
    <w:rsid w:val="00EF387F"/>
    <w:rsid w:val="00F13DE4"/>
    <w:rsid w:val="00F42E24"/>
    <w:rsid w:val="00F9269D"/>
    <w:rsid w:val="00F97A45"/>
    <w:rsid w:val="00FA456E"/>
    <w:rsid w:val="00FA696B"/>
    <w:rsid w:val="00FB3A08"/>
    <w:rsid w:val="00FC121C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A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Zhlav">
    <w:name w:val="header"/>
    <w:basedOn w:val="Normln"/>
    <w:link w:val="ZhlavChar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A44ED9"/>
    <w:rPr>
      <w:rFonts w:cs="Times New Roman"/>
    </w:rPr>
  </w:style>
  <w:style w:type="paragraph" w:styleId="Zpat">
    <w:name w:val="footer"/>
    <w:basedOn w:val="Normln"/>
    <w:link w:val="Zpat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4ED9"/>
    <w:rPr>
      <w:rFonts w:cs="Times New Roman"/>
    </w:rPr>
  </w:style>
  <w:style w:type="character" w:styleId="Hypertextovodkaz">
    <w:name w:val="Hyperlink"/>
    <w:basedOn w:val="Standardnpsmoodstavce"/>
    <w:uiPriority w:val="99"/>
    <w:rsid w:val="00A44ED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ln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uiPriority w:val="99"/>
    <w:rsid w:val="003964F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75D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75DA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7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1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12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A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Zhlav">
    <w:name w:val="header"/>
    <w:basedOn w:val="Normln"/>
    <w:link w:val="ZhlavChar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A44ED9"/>
    <w:rPr>
      <w:rFonts w:cs="Times New Roman"/>
    </w:rPr>
  </w:style>
  <w:style w:type="paragraph" w:styleId="Zpat">
    <w:name w:val="footer"/>
    <w:basedOn w:val="Normln"/>
    <w:link w:val="Zpat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4ED9"/>
    <w:rPr>
      <w:rFonts w:cs="Times New Roman"/>
    </w:rPr>
  </w:style>
  <w:style w:type="character" w:styleId="Hypertextovodkaz">
    <w:name w:val="Hyperlink"/>
    <w:basedOn w:val="Standardnpsmoodstavce"/>
    <w:uiPriority w:val="99"/>
    <w:rsid w:val="00A44ED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ln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uiPriority w:val="99"/>
    <w:rsid w:val="003964F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75D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75DA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7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1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1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assets/cs/obrazky/fs/seznam-UzP-se-zrusenymi-pokladnami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cs/dane-a-pojistne/dane/dan-z-nemovitych-veci/si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GENERÁLNÍ FINANČNÍ ŘEDITELSTVÍ</vt:lpstr>
    </vt:vector>
  </TitlesOfParts>
  <Company>GFŘ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GENERÁLNÍ FINANČNÍ ŘEDITELSTVÍ</dc:title>
  <dc:creator>Jan Vávra (GFŘ)</dc:creator>
  <cp:lastModifiedBy>Patočková Hana Ing. (FÚ pro Pardubický kraj)</cp:lastModifiedBy>
  <cp:revision>5</cp:revision>
  <cp:lastPrinted>2015-08-07T08:12:00Z</cp:lastPrinted>
  <dcterms:created xsi:type="dcterms:W3CDTF">2015-08-07T07:00:00Z</dcterms:created>
  <dcterms:modified xsi:type="dcterms:W3CDTF">2015-08-07T08:39:00Z</dcterms:modified>
</cp:coreProperties>
</file>